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附件四：</w:t>
      </w:r>
    </w:p>
    <w:p>
      <w:pPr>
        <w:widowControl/>
        <w:spacing w:line="520" w:lineRule="exact"/>
        <w:jc w:val="both"/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</w:pPr>
      <w:bookmarkStart w:id="1" w:name="_GoBack"/>
      <w:bookmarkEnd w:id="1"/>
    </w:p>
    <w:p>
      <w:pPr>
        <w:widowControl/>
        <w:spacing w:line="520" w:lineRule="exact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武汉大学新闻与传播学院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2016级学业奖学金名额分配方式</w:t>
      </w:r>
    </w:p>
    <w:p>
      <w:pPr>
        <w:widowControl/>
        <w:numPr>
          <w:ilvl w:val="0"/>
          <w:numId w:val="0"/>
        </w:numPr>
        <w:spacing w:line="520" w:lineRule="exact"/>
        <w:jc w:val="both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numPr>
          <w:ilvl w:val="0"/>
          <w:numId w:val="0"/>
        </w:numPr>
        <w:spacing w:line="520" w:lineRule="exact"/>
        <w:ind w:firstLine="64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一、学术类硕士</w:t>
      </w:r>
    </w:p>
    <w:p>
      <w:pPr>
        <w:numPr>
          <w:ilvl w:val="0"/>
          <w:numId w:val="1"/>
        </w:numPr>
        <w:ind w:firstLine="596" w:firstLineChars="198"/>
        <w:rPr>
          <w:rFonts w:hint="eastAsia" w:ascii="仿宋_GB2312" w:eastAsia="仿宋_GB2312"/>
          <w:sz w:val="30"/>
          <w:szCs w:val="30"/>
          <w:lang w:val="en-US" w:eastAsia="zh-CN"/>
        </w:rPr>
      </w:pPr>
      <w:bookmarkStart w:id="0" w:name="OLE_LINK2"/>
      <w:r>
        <w:rPr>
          <w:rFonts w:hint="eastAsia" w:ascii="仿宋_GB2312" w:eastAsia="仿宋_GB2312"/>
          <w:sz w:val="30"/>
          <w:szCs w:val="30"/>
          <w:lang w:val="en-US" w:eastAsia="zh-CN"/>
        </w:rPr>
        <w:t>一等奖名额占基数的10%，二等奖占20%，三等奖占70%</w:t>
      </w:r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；</w:t>
      </w:r>
    </w:p>
    <w:p>
      <w:pPr>
        <w:numPr>
          <w:ilvl w:val="0"/>
          <w:numId w:val="1"/>
        </w:numPr>
        <w:ind w:firstLine="596" w:firstLineChars="198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奖学金名额按各系录取人数之比分配给报考各系拟录取的考生；</w:t>
      </w:r>
    </w:p>
    <w:p>
      <w:pPr>
        <w:numPr>
          <w:ilvl w:val="0"/>
          <w:numId w:val="1"/>
        </w:numPr>
        <w:ind w:firstLine="596" w:firstLineChars="198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一等、二等奖学金以复试成绩为依据在推免生中产生。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2"/>
        </w:numPr>
        <w:spacing w:line="520" w:lineRule="exact"/>
        <w:ind w:firstLine="64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专业类硕士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1.30%的考生获得一等奖学金，70%的考生获得二等奖学金；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2.所有推免生获得一等奖学金。剩余一等奖学金名额在各系拟录取统考类学生中分配，分配标准为入学总成绩；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3.少数民族骨干计划考生获得二等学业奖。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三、博士研究生</w:t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评审委员会根据参评者入学考试时提交的科研成果得分进行排名。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一等奖名额占基数的10%，二等奖占20%，三等奖占70%。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7A61"/>
    <w:multiLevelType w:val="singleLevel"/>
    <w:tmpl w:val="57737A6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737B13"/>
    <w:multiLevelType w:val="singleLevel"/>
    <w:tmpl w:val="57737B1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AD"/>
    <w:rsid w:val="00AF2D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2016-07-07T10:17:00Z</dcterms:created>
  <dc:creator>lenovo</dc:creator>
  <cp:lastModifiedBy>lenovo</cp:lastModifiedBy>
  <dcterms:modified xsi:type="dcterms:W3CDTF">2016-07-07T10:18:52Z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